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8C0061F" w:rsidP="30342C82" w:rsidRDefault="68C0061F" w14:paraId="712BBAF0" w14:textId="09934A39">
      <w:pPr>
        <w:pStyle w:val="Heading1"/>
        <w:keepNext w:val="1"/>
        <w:keepLines w:val="1"/>
        <w:spacing w:before="360" w:after="80"/>
        <w:jc w:val="center"/>
        <w:rPr>
          <w:rFonts w:ascii="Aptos Display" w:hAnsi="Aptos Display" w:eastAsia="Aptos Display" w:cs="Aptos Display"/>
          <w:b w:val="1"/>
          <w:bCs w:val="1"/>
          <w:i w:val="0"/>
          <w:iCs w:val="0"/>
          <w:caps w:val="0"/>
          <w:smallCaps w:val="0"/>
          <w:noProof w:val="0"/>
          <w:color w:val="003366"/>
          <w:sz w:val="40"/>
          <w:szCs w:val="40"/>
          <w:lang w:val="en-US"/>
        </w:rPr>
      </w:pPr>
      <w:r w:rsidRPr="4035D319" w:rsidR="3C5E7747">
        <w:rPr>
          <w:rFonts w:ascii="Aptos Display" w:hAnsi="Aptos Display" w:eastAsia="Aptos Display" w:cs="Aptos Display"/>
          <w:b w:val="1"/>
          <w:bCs w:val="1"/>
          <w:i w:val="0"/>
          <w:iCs w:val="0"/>
          <w:caps w:val="0"/>
          <w:smallCaps w:val="0"/>
          <w:noProof w:val="0"/>
          <w:color w:val="003366"/>
          <w:sz w:val="40"/>
          <w:szCs w:val="40"/>
          <w:lang w:val="en-US"/>
        </w:rPr>
        <w:t>ASCH ASMW 2026</w:t>
      </w:r>
    </w:p>
    <w:p xmlns:wp14="http://schemas.microsoft.com/office/word/2010/wordml" w:rsidP="4035D319" wp14:paraId="5E49C78F" wp14:textId="6EC96D8B">
      <w:pPr>
        <w:pStyle w:val="Heading1"/>
        <w:keepNext w:val="1"/>
        <w:keepLines w:val="1"/>
        <w:spacing w:before="360" w:after="80"/>
        <w:jc w:val="center"/>
        <w:rPr>
          <w:rFonts w:ascii="Aptos Display" w:hAnsi="Aptos Display" w:eastAsia="Aptos Display" w:cs="Aptos Display"/>
          <w:b w:val="1"/>
          <w:bCs w:val="1"/>
          <w:i w:val="0"/>
          <w:iCs w:val="0"/>
          <w:caps w:val="0"/>
          <w:smallCaps w:val="0"/>
          <w:noProof w:val="0"/>
          <w:color w:val="003366"/>
          <w:sz w:val="40"/>
          <w:szCs w:val="40"/>
          <w:lang w:val="en-US"/>
        </w:rPr>
      </w:pPr>
      <w:r w:rsidRPr="4035D319" w:rsidR="530E1993">
        <w:rPr>
          <w:rFonts w:ascii="Aptos Display" w:hAnsi="Aptos Display" w:eastAsia="Aptos Display" w:cs="Aptos Display"/>
          <w:b w:val="1"/>
          <w:bCs w:val="1"/>
          <w:i w:val="0"/>
          <w:iCs w:val="0"/>
          <w:caps w:val="0"/>
          <w:smallCaps w:val="0"/>
          <w:noProof w:val="0"/>
          <w:color w:val="003366"/>
          <w:sz w:val="40"/>
          <w:szCs w:val="40"/>
          <w:lang w:val="en-US"/>
        </w:rPr>
        <w:t>Saturday, March 21</w:t>
      </w:r>
      <w:r w:rsidRPr="4035D319" w:rsidR="530E1993">
        <w:rPr>
          <w:rFonts w:ascii="Aptos Display" w:hAnsi="Aptos Display" w:eastAsia="Aptos Display" w:cs="Aptos Display"/>
          <w:b w:val="1"/>
          <w:bCs w:val="1"/>
          <w:i w:val="0"/>
          <w:iCs w:val="0"/>
          <w:caps w:val="0"/>
          <w:smallCaps w:val="0"/>
          <w:noProof w:val="0"/>
          <w:color w:val="003366"/>
          <w:sz w:val="40"/>
          <w:szCs w:val="40"/>
          <w:vertAlign w:val="superscript"/>
          <w:lang w:val="en-US"/>
        </w:rPr>
        <w:t>st</w:t>
      </w:r>
      <w:r w:rsidRPr="4035D319" w:rsidR="530E1993">
        <w:rPr>
          <w:rFonts w:ascii="Aptos Display" w:hAnsi="Aptos Display" w:eastAsia="Aptos Display" w:cs="Aptos Display"/>
          <w:b w:val="1"/>
          <w:bCs w:val="1"/>
          <w:i w:val="0"/>
          <w:iCs w:val="0"/>
          <w:caps w:val="0"/>
          <w:smallCaps w:val="0"/>
          <w:noProof w:val="0"/>
          <w:color w:val="003366"/>
          <w:sz w:val="40"/>
          <w:szCs w:val="40"/>
          <w:lang w:val="en-US"/>
        </w:rPr>
        <w:t xml:space="preserve"> </w:t>
      </w:r>
    </w:p>
    <w:p xmlns:wp14="http://schemas.microsoft.com/office/word/2010/wordml" w:rsidP="4035D319" wp14:paraId="680F98E8" wp14:textId="6F3D6EAC">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Plenary 10:30AM ET –11:30AM ET</w:t>
      </w:r>
    </w:p>
    <w:p xmlns:wp14="http://schemas.microsoft.com/office/word/2010/wordml" w:rsidP="4035D319" wp14:paraId="258DF949" wp14:textId="6B77B496">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Ericksonian Choice Architecture: Crafting Strategic Communication for Hypnotic Practice</w:t>
      </w:r>
    </w:p>
    <w:p xmlns:wp14="http://schemas.microsoft.com/office/word/2010/wordml" w:rsidP="4035D319" wp14:paraId="79B0BE4B" wp14:textId="46893FB1">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1.0 | Speaker: Dan Short, PhD | Zoom Room: Main</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plenary introduces Ericksonian Choice Architecture (ECA), a framework that extends Milton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 Erickson’s legacy by framing hypnotic communication as the strategic design of preconscious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choice. Participants will learn how ECA differs from traditional directive approaches by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emphasizing autonomy, context sensitivity, and indirect influence (“nudges”). Practical examples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will illustrate how ECA enhances engagement, deepens hypnotic responsiveness, and is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supported by newly emerging research. Attendees will leave with clear, applicable concepts for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shaping communication that honors client agency while increasing the precision, flexibility, and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effectiveness of hypnotic interventions in contemporary clinical practice.</w:t>
      </w:r>
    </w:p>
    <w:p xmlns:wp14="http://schemas.microsoft.com/office/word/2010/wordml" w:rsidP="4035D319" wp14:paraId="14E2A1D2" wp14:textId="1D4ADD1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14ADBAF7" wp14:textId="182CEC38">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Define the core principles of Ericksonian Choice Architecture (ECA) and distinguish how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they differ from traditional directive models of hypnotic communication</w:t>
      </w:r>
    </w:p>
    <w:p xmlns:wp14="http://schemas.microsoft.com/office/word/2010/wordml" w:rsidP="4035D319" wp14:paraId="69ABA32D" wp14:textId="0AF60B04">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Identify and analyze at least three ECA strategies that enhance client autonomy,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engagement, and responsiveness during hypnosis</w:t>
      </w:r>
    </w:p>
    <w:p xmlns:wp14="http://schemas.microsoft.com/office/word/2010/wordml" w:rsidP="4035D319" wp14:paraId="2B1B2C1C" wp14:textId="79702663">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Apply ECA principles to a clinical vignette by formulating at least one intervention that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demonstrates choice-centered communication and strategic framing</w:t>
      </w:r>
    </w:p>
    <w:p xmlns:wp14="http://schemas.microsoft.com/office/word/2010/wordml" w:rsidP="4035D319" wp14:paraId="3EE6B060" wp14:textId="78A25D9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Dan Short,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practicing clinical psychologist who also serves as Co-Director for the Milton H. Erickson Institute of Phoenix, adjunct faculty for the Milton H. Erickson Foundation Intensive Training program and the originator of the training program in Ericksonian Choice Architecture (ECA). Dr. Short also teaches medical hypnosis for Sonoran University of Health Sciences. Dr. Short has published four books, served as guest editor for American Journal of Hypnosis (AJCH), and authored dozens of scholarly articles and book chapters. Dr. Short’s research interests have focused on Ericksonian hypnosis resulting in a research-based treatment manual for Ericksonian therapy (ET), which is used by training institutes around the world</w:t>
      </w:r>
    </w:p>
    <w:p xmlns:wp14="http://schemas.microsoft.com/office/word/2010/wordml" w:rsidP="4035D319" wp14:paraId="339BA27C" wp14:textId="310BBD35">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Concurrent Sessions - 12:00PM ET – 3:00PM ET</w:t>
      </w:r>
    </w:p>
    <w:p xmlns:wp14="http://schemas.microsoft.com/office/word/2010/wordml" w:rsidP="4035D319" wp14:paraId="6FCAB400" wp14:textId="5A45AACE">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Hypnosis in Dealing with Grief, Death and Spirituality</w:t>
      </w:r>
    </w:p>
    <w:p xmlns:wp14="http://schemas.microsoft.com/office/word/2010/wordml" w:rsidP="4035D319" wp14:paraId="53855D12" wp14:textId="25FB8A96">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 Ran Anbar, MD, FAAP | Zoom Room: A</w:t>
      </w:r>
    </w:p>
    <w:p xmlns:wp14="http://schemas.microsoft.com/office/word/2010/wordml" w:rsidP="4035D319" wp14:paraId="27E06EAD" wp14:textId="12348BE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Friday, March 20</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12-3pm ET</w:t>
      </w:r>
    </w:p>
    <w:p xmlns:wp14="http://schemas.microsoft.com/office/word/2010/wordml" w:rsidP="4035D319" wp14:paraId="651A63BB" wp14:textId="7E53CFA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In this presentation, Dr. Anbar will discuss his experiences over his career as a physician and counselor that taught him about how to deal with grief and death, as well as helped him develop a better understanding of spirituality. As he has been extensively using hypnosis in his practice over the past 28 years, many of his insights arose as a result of using hypnosis with his patients as well as self-hypnosis. The presentation also will review hypnotic techniques that can be used to help patients cope better with grief and end-of-life spiritual challenges.</w:t>
      </w:r>
    </w:p>
    <w:p xmlns:wp14="http://schemas.microsoft.com/office/word/2010/wordml" w:rsidP="4035D319" wp14:paraId="22D66FD8" wp14:textId="075A4E4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end of this presentation, participants will be able to</w:t>
      </w:r>
    </w:p>
    <w:p xmlns:wp14="http://schemas.microsoft.com/office/word/2010/wordml" w:rsidP="4035D319" wp14:paraId="7B6D966C" wp14:textId="3E7DC2F7">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Facilitate a discussion of death with their clients</w:t>
      </w:r>
    </w:p>
    <w:p xmlns:wp14="http://schemas.microsoft.com/office/word/2010/wordml" w:rsidP="4035D319" wp14:paraId="08795F6D" wp14:textId="67C94E8C">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Teach how to use a hypnotic state to help move forward through the grief process</w:t>
      </w:r>
    </w:p>
    <w:p xmlns:wp14="http://schemas.microsoft.com/office/word/2010/wordml" w:rsidP="4035D319" wp14:paraId="49F93A41" wp14:textId="61C366A1">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Use interactions with the subconscious to help clients incorporate spirituality into their dealing with end-of-life issues.</w:t>
      </w:r>
    </w:p>
    <w:p xmlns:wp14="http://schemas.microsoft.com/office/word/2010/wordml" w:rsidP="4035D319" wp14:paraId="4D763A54" wp14:textId="366B5B7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Ran D. Anbar, MD, FAAP,</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board certified in both pediatric pulmonology and general pediatrics, offering hypnosis and counseling services at Center Point Medicine in La Jolla, California, and Syracuse, New York. Dr. Anbar is also a past President, fellow, and approved consultant of the American Society of Clinical Hypnosis.   Dr. Anbar is author of more than 70 articles, abstracts, and book chapters on pediatric functional disorders and pediatric hypnosis.  He is the author of the acclaimed Changing Children's Lives with Hypnosis (2021) and The Life Guide for Teens (2025).</w:t>
      </w:r>
    </w:p>
    <w:p xmlns:wp14="http://schemas.microsoft.com/office/word/2010/wordml" w:rsidP="4035D319" wp14:paraId="4FBF33D4" wp14:textId="346A80C9">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Organized Extreme Abuse: Terms, Complexities and Creative Strategies</w:t>
      </w:r>
    </w:p>
    <w:p xmlns:wp14="http://schemas.microsoft.com/office/word/2010/wordml" w:rsidP="4035D319" wp14:paraId="6AC6DB65" wp14:textId="16251B82">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 Rachel Sage, LCSW-C | Zoom Room: B</w:t>
      </w:r>
    </w:p>
    <w:p xmlns:wp14="http://schemas.microsoft.com/office/word/2010/wordml" w:rsidP="4035D319" wp14:paraId="5EFDBADE" wp14:textId="00BAC4D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12-3pm ET</w:t>
      </w:r>
    </w:p>
    <w:p xmlns:wp14="http://schemas.microsoft.com/office/word/2010/wordml" w:rsidP="4035D319" wp14:paraId="4BA67EF6" wp14:textId="661D739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Organized Extreme Abuse is the structured manipulation of attachment needs through extreme conditioning and sadistic torture, involving methods to exploit victims by leveraging their belief systems and core values to indoctrinate victims to an established ideology.  This form of systematic abuse can induce dissociative identities that serve the perpetrators. Similarities and differences in both clinical presentation and therapeutic work between organically formed dissociative self-state systems and systematically induced identity systems will be outlined. Physicians and mental health therapists will acquire strategies for establishing safety, harm-reduction, internal world development/communication, and cautions regarding some therapeutic modalities. An understanding of complex dissociation is recommended.</w:t>
      </w:r>
    </w:p>
    <w:p xmlns:wp14="http://schemas.microsoft.com/office/word/2010/wordml" w:rsidP="4035D319" wp14:paraId="4DE11CC1" wp14:textId="0AAFF64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0B3207FF" wp14:textId="447F898E">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Identify at least three ways clinicians can assist clients with internal world exploration/development and internal communication</w:t>
      </w:r>
    </w:p>
    <w:p xmlns:wp14="http://schemas.microsoft.com/office/word/2010/wordml" w:rsidP="4035D319" wp14:paraId="7511B743" wp14:textId="012689BB">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List at least three indicators of potential Organized Extreme Abuse (OEA) history</w:t>
      </w:r>
    </w:p>
    <w:p xmlns:wp14="http://schemas.microsoft.com/office/word/2010/wordml" w:rsidP="4035D319" wp14:paraId="7AEB5BFA" wp14:textId="7F218E9E">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Describe at least three ways clinicians can address safety concerns and/or assist clients with establishing safety</w:t>
      </w:r>
    </w:p>
    <w:p xmlns:wp14="http://schemas.microsoft.com/office/word/2010/wordml" w:rsidP="4035D319" wp14:paraId="26F4A675" wp14:textId="312CC53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Presenter</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 Rachel Sage, LCSW-C,</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clinical social worker in private practice located in Baltimore, Maryland, and primarily works with complex dissociation and survivors of Organized Extreme Abuse. Rachel received a Master's degree in Social Work from the University of Maryland (2019) and a Master's degree in Fine Arts from Towson University (2012). They are an EMDRIA Approved Provider and Consultant, hold ASCH certification in Clinical Hypnosis, and are fully trained in Deep Brain Reorienting (DBR). Rachel teaches as a member of the International Society for the Study of Trauma and Dissociation Professional Training Program staff. </w:t>
      </w:r>
    </w:p>
    <w:p xmlns:wp14="http://schemas.microsoft.com/office/word/2010/wordml" w:rsidP="4035D319" wp14:paraId="57E23D43" wp14:textId="6B668F49">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Chronic States with Better Fates</w:t>
      </w:r>
    </w:p>
    <w:p xmlns:wp14="http://schemas.microsoft.com/office/word/2010/wordml" w:rsidP="4035D319" wp14:paraId="0702E96E" wp14:textId="6554ED9E">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 Bart Walsh, MSW | Zoom Room: C</w:t>
      </w:r>
    </w:p>
    <w:p xmlns:wp14="http://schemas.microsoft.com/office/word/2010/wordml" w:rsidP="4035D319" wp14:paraId="013DE642" wp14:textId="2F6DA6F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12-3pm ET</w:t>
      </w:r>
    </w:p>
    <w:p xmlns:wp14="http://schemas.microsoft.com/office/word/2010/wordml" w:rsidP="4035D319" wp14:paraId="26D71A13" wp14:textId="0B6EBAA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Learn the basics of Functional Systemic Negotiation. This approach encompasses ego state therapy, ideomotor questioning, psychosocial genomics, strategic therapy, and more: a simple, non-invasive process of resolving acute and accumulated emotion precedes identification of the source of a chronic problem state, through communication with the unconscious. The source of the problem state can then be resolved, managed, or transformed depending on its type. The sources of chronic problem states, be they emotional or physiological, and their resolution will be illustrated. Experiential exercises and demonstrations will enhance participant learning.</w:t>
      </w:r>
    </w:p>
    <w:p xmlns:wp14="http://schemas.microsoft.com/office/word/2010/wordml" w:rsidP="4035D319" wp14:paraId="58E133D6" wp14:textId="50A6497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6ABDB68" wp14:textId="4121EB36">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Participants will understand three familiar sources of chronic problem states.</w:t>
      </w:r>
    </w:p>
    <w:p xmlns:wp14="http://schemas.microsoft.com/office/word/2010/wordml" w:rsidP="4035D319" wp14:paraId="2A2707B2" wp14:textId="5CE8D9F3">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Participants will understand at least three functional dynamics of ego states (parts).</w:t>
      </w:r>
    </w:p>
    <w:p xmlns:wp14="http://schemas.microsoft.com/office/word/2010/wordml" w:rsidP="4035D319" wp14:paraId="35B55D61" wp14:textId="0ABBF4C2">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Participants will understand how to apply ideomotor questioning to promote emotional and physiological change.</w:t>
      </w:r>
    </w:p>
    <w:p xmlns:wp14="http://schemas.microsoft.com/office/word/2010/wordml" w:rsidP="4035D319" wp14:paraId="093D95AB" wp14:textId="04FD4D9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Bart Walsh, MSW,</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Licensed Clinical Social Worker and Diplomate in Clinical Social Work, offering treatment since 1987. He conducts a private clinical practice and directs The Milton H. Erickson Institute of Portland (Oregon, USA), affiliated with the Milton H. Erickson Foundation. In addition to direct clinical work with individuals, couples, and families, Bart offers hypnotherapy training to qualified professionals and conducts workshops in the United States and Europe. His articles have been published in The American Journal of Clinical Hypnosis and The International Journal of Psychosocial</w:t>
      </w:r>
    </w:p>
    <w:p xmlns:wp14="http://schemas.microsoft.com/office/word/2010/wordml" w:rsidP="4035D319" wp14:paraId="4A8E31AF" wp14:textId="60177972">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Imagination as the Regenerative Time Machine: Healing the Past and Spontaneous Imaginal Life Experiences in Clinical Hypnosis</w:t>
      </w:r>
    </w:p>
    <w:p xmlns:wp14="http://schemas.microsoft.com/office/word/2010/wordml" w:rsidP="4035D319" wp14:paraId="33B04A10" wp14:textId="7FE2FDDA">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Speakers: Marina A. Smirnova, Ph.D. and Eric K. Willmarth, Ph.D. | Zoom Room: D</w:t>
      </w:r>
    </w:p>
    <w:p xmlns:wp14="http://schemas.microsoft.com/office/word/2010/wordml" w:rsidP="4035D319" wp14:paraId="06BFDA26" wp14:textId="3B695D4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12-3pm ET</w:t>
      </w:r>
    </w:p>
    <w:p xmlns:wp14="http://schemas.microsoft.com/office/word/2010/wordml" w:rsidP="4035D319" wp14:paraId="2C504F2B" wp14:textId="34D2174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Imagination continues to claim its place in the 21st century healing. According to Albert Einstein, "Imagination is more important than knowledge. For knowledge is limited; while imagination embraces the entire world, and all there ever will be to know and understand." This workshop explores human imagination as the time machine with regenerative potentials. It focuses on healing the past and spontaneous imaginal life experiences using hypnosis. Moreover, it examines the art of Hypnotic Regression Therapy (HRT) as delineated by C. Roy Hunter and Bruce N. Eimer (2014) in their modern classic, “The Art of Hypnotic Regression Therapy: A Clinical Guide.”</w:t>
      </w:r>
    </w:p>
    <w:p xmlns:wp14="http://schemas.microsoft.com/office/word/2010/wordml" w:rsidP="4035D319" wp14:paraId="33F56B6A" wp14:textId="5840C29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786B08ED" wp14:textId="54C52EC5">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Delineate and substantiate the central role of human imagination in healing within the contexts of clinical hypnosis</w:t>
      </w:r>
    </w:p>
    <w:p xmlns:wp14="http://schemas.microsoft.com/office/word/2010/wordml" w:rsidP="4035D319" wp14:paraId="5601A31C" wp14:textId="5DE23FCA">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Examine the process of healing the past and spontaneously occurring imaginal life experiences in clinical hypnosis</w:t>
      </w:r>
    </w:p>
    <w:p xmlns:wp14="http://schemas.microsoft.com/office/word/2010/wordml" w:rsidP="4035D319" wp14:paraId="6C94D86E" wp14:textId="27E18B51">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Explicate skillful hypnotic strategies, sound ethical considerations, and Hypnotic Regression Therapy (HRT) essentials for facilitating clients' process of healing the past and spontaneous imaginal life experiences in hypnosis</w:t>
      </w:r>
    </w:p>
    <w:p xmlns:wp14="http://schemas.microsoft.com/office/word/2010/wordml" w:rsidP="4035D319" wp14:paraId="4EE31504" wp14:textId="0FC2AD9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Presenters: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Marina A. Smirnova,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2013 graduate of Sofia University (formerly, the Institute of Transpersonal Psychology). She serves as a Full Professor of Psychology at Saybrook University and oversees Consciousness, Spirituality, and Integrative Health specialization. Outside of the halls of academia, Marina supports adults, who are questing for spiritual vitality, fulfillment, joy, longevity, and ascension. She helps them to re-contextualize, recalibrate, reclaim, and fully integrate their deeply evocative, Exceptional Human Experiences (EHEs). Marina lives and creates in Sedona, Arizona.</w:t>
      </w:r>
      <w:r>
        <w:br/>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Eric K. Willmarth,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past-president of The American Society of Clinical Hypnosis, the Society for Clinical and Experimental Hypnosis and the Society for Psychological Hypnosis (APH Div. 30). He has been teaching hypnosis workshops for over 40 years. He is currently a full professor at Saybrook University, where he teaches, among other courses, both Basic and Advanced Hypnosis. He remains in clinical practice, working primarily with patients with chronic pain and other chronic pain conditions. His areas of academic interest include hypnosis, biofeedback, and music. </w:t>
      </w:r>
    </w:p>
    <w:p xmlns:wp14="http://schemas.microsoft.com/office/word/2010/wordml" w:rsidP="4035D319" wp14:paraId="166C60F2" wp14:textId="3FD14707">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Concurrent Sessions – 3:30 PM ET – 5:00PM ET</w:t>
      </w:r>
    </w:p>
    <w:p xmlns:wp14="http://schemas.microsoft.com/office/word/2010/wordml" w:rsidP="4035D319" wp14:paraId="0AA52A7B" wp14:textId="5DB0BDE7">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Becoming an ASCH Educator</w:t>
      </w:r>
    </w:p>
    <w:p xmlns:wp14="http://schemas.microsoft.com/office/word/2010/wordml" w:rsidP="4035D319" wp14:paraId="54D9BF97" wp14:textId="42483537">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Mary Wells, PhD | Zoom Room: A</w:t>
      </w:r>
    </w:p>
    <w:p xmlns:wp14="http://schemas.microsoft.com/office/word/2010/wordml" w:rsidP="4035D319" wp14:paraId="2FE37204" wp14:textId="14E38D1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7AB02642" wp14:textId="127B4CD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This program is designed to introduce or refresh participants’ understanding of how ASCH approaches its education mission and to prepare faculty for teaching within ASCH programs. Through this session, attendees will explore the principles that guide ASCH’s training development and learn practical steps for engaging as faculty or small group facilitators</w:t>
      </w:r>
    </w:p>
    <w:p xmlns:wp14="http://schemas.microsoft.com/office/word/2010/wordml" w:rsidP="4035D319" wp14:paraId="423362CB" wp14:textId="7203F31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BC1FA29" wp14:textId="108159D4">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Understand and appreciate the importance of adult learning theory as it pertains to development of professional training opportunities</w:t>
      </w:r>
    </w:p>
    <w:p xmlns:wp14="http://schemas.microsoft.com/office/word/2010/wordml" w:rsidP="4035D319" wp14:paraId="7B4A2CF3" wp14:textId="5C636FE5">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Acquire basic understanding of how ASCH training was developed and continues to be reviewed</w:t>
      </w:r>
    </w:p>
    <w:p xmlns:wp14="http://schemas.microsoft.com/office/word/2010/wordml" w:rsidP="4035D319" wp14:paraId="7D261D3F" wp14:textId="539E77AC">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Describe the ASCH workshop development process and roles of faculty and small group facilitators</w:t>
      </w:r>
    </w:p>
    <w:p xmlns:wp14="http://schemas.microsoft.com/office/word/2010/wordml" w:rsidP="4035D319" wp14:paraId="03218D45" wp14:textId="3159FEF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Presenter: Dr. Mary Wells is a licensed clinical psychologist who has been in practice for over 30 years in the areas of rehabilitation and pain management. She completed her graduate work at George Washington University and started her career at the Washington Pain and Rehabilitation Center in Washington, DC. She went from there to VCU Health System in the Department of Physical Medicine and Rehabilitation as a rehab psychologist, providing services to a full range of rehabilitation patients on both the inpatient and outpatient service. She left VCU to work in an interdisciplinary pain clinic in the community and later went into private practice. In 2000, she joined the medical psychology department at Sheltering Arms Hospital, first as a staff psychologist and later as director of the department, a post she held for 10 years.  She has recently returned to the VCU Dept. of PMR and is currently working as part of an interdisciplinary team of medical professionals at Virginia Commonwealth University Health System to provide services to patients with chronic pain due to a variety of medical conditions. She provides evaluations and psychological treatment for the management of chronic pain.</w:t>
      </w:r>
    </w:p>
    <w:p xmlns:wp14="http://schemas.microsoft.com/office/word/2010/wordml" w:rsidP="4035D319" wp14:paraId="678FAEE4" wp14:textId="2B56C130">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Integrating Pain Reprocessing Therapy Principles with Clinical Hypnosis for Chronic Pain</w:t>
      </w:r>
    </w:p>
    <w:p xmlns:wp14="http://schemas.microsoft.com/office/word/2010/wordml" w:rsidP="4035D319" wp14:paraId="4C9A01DB" wp14:textId="5833D2B2">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Michael Spertus, MD | Zoom Room: B</w:t>
      </w:r>
    </w:p>
    <w:p xmlns:wp14="http://schemas.microsoft.com/office/word/2010/wordml" w:rsidP="4035D319" wp14:paraId="3A855A04" wp14:textId="425A385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34414E7E" wp14:textId="7880962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Pain Reprocessing Therapy (PRT) is rapidly gaining recognition as a leading, evidence-based approach in pain psychology and chronic pain management, supported by emerging clinical research and real-world success. Clinical hypnosis has long been used to treat chronic pain with favorable, although sometimes variable results. This presentation aims to integrate PRT principles with clinical hypnosis to enhance both efficacy and scope. Attendees will learn how PRT's core principles of pain neuroscience education, safety reappraisal, addressing emotional threats, and positive affect induction can enhance hypnotic efficacy, and in turn, learn how using hypnotic language and techniques can deepen the effects of PRT.</w:t>
      </w:r>
    </w:p>
    <w:p xmlns:wp14="http://schemas.microsoft.com/office/word/2010/wordml" w:rsidP="4035D319" wp14:paraId="61D5F366" wp14:textId="4EDCBE2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21E8671" wp14:textId="09212D2F">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Describe the core principles of Pain Reprocessing Therapy (PRT)</w:t>
      </w:r>
    </w:p>
    <w:p xmlns:wp14="http://schemas.microsoft.com/office/word/2010/wordml" w:rsidP="4035D319" wp14:paraId="6BDF457F" wp14:textId="2DA8683D">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Compare the theory, mechanistic basis, and research between PRT and clinical hypnosis in improving chronic pain</w:t>
      </w:r>
    </w:p>
    <w:p xmlns:wp14="http://schemas.microsoft.com/office/word/2010/wordml" w:rsidP="4035D319" wp14:paraId="5AB6A2D2" wp14:textId="2D321573">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Apply the principles of PRT in hypnotic interventions and vice versa</w:t>
      </w:r>
    </w:p>
    <w:p xmlns:wp14="http://schemas.microsoft.com/office/word/2010/wordml" w:rsidP="4035D319" wp14:paraId="6D4C6423" wp14:textId="7130EBB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Presenters: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Michael Spertus, MD,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physician, board-certified in Family Medicine, Integrative Medicine, and Lifestyle Medicine. He went to medical school at the University of Miami and residency at Columbia University Medical Center. He completed fellowships in Integrative Medicine, Health Education, and Primary Care Psychiatry. He has extensive training in leadership, clinical hypnosis, acupuncture, mindfulness, psychotherapy, and coaching. Currently, Dr. Spertus is in private practice, focusing on mind-body medicine and professional coaching. He is affiliated with the University of Miami School of Medicine. Previously, he was a Chief Clinician Well-Being Officer with the Veterans Administration and implemented an integrative pain clinic.</w:t>
      </w:r>
    </w:p>
    <w:p xmlns:wp14="http://schemas.microsoft.com/office/word/2010/wordml" w:rsidP="4035D319" wp14:paraId="4353F2DA" wp14:textId="737F9FA5">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Hypnoanesthesia</w:t>
      </w:r>
    </w:p>
    <w:p xmlns:wp14="http://schemas.microsoft.com/office/word/2010/wordml" w:rsidP="4035D319" wp14:paraId="5AAF515E" wp14:textId="5533C89F">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Brice Lemaire, PhD | Zoom Room: C</w:t>
      </w:r>
    </w:p>
    <w:p xmlns:wp14="http://schemas.microsoft.com/office/word/2010/wordml" w:rsidP="4035D319" wp14:paraId="6BAE2991" wp14:textId="6BF1632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19DA25EC" wp14:textId="047EB0D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Hypnotic anesthesia is a powerful clinical application of hypnosis that supports patient comfort and procedural pain management. Drawing on 25 years of experience using hypnosis in dental surgery, this workshop demonstrates practical hypnotic strategies that clinicians can integrate into medical and dental settings. Participants will explore rapport-building, assessing hypnotic responsiveness, rapid induction methods, self-deepening techniques, and deep trance management for analgesia. Hypnotic phenomena relevant to pain modulation will be demonstrated and practiced. This workshop is designed for healthcare professionals working in medical hypnosis, particularly those involved in procedural care and pain management, and presents these methods as adjuncts to standard clinical protocols</w:t>
      </w:r>
    </w:p>
    <w:p xmlns:wp14="http://schemas.microsoft.com/office/word/2010/wordml" w:rsidP="4035D319" wp14:paraId="059AFBB4" wp14:textId="0F7CC71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9CACF88" wp14:textId="278311FB">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Identify at least three hypnotic anesthesia techniques and describe how each can function as an adjunct to standard clinical pain management.</w:t>
      </w:r>
    </w:p>
    <w:p xmlns:wp14="http://schemas.microsoft.com/office/word/2010/wordml" w:rsidP="4035D319" wp14:paraId="31D28F0F" wp14:textId="6D80B48A">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Demonstrate at least two methods for inducing and stabilizing deep trance states suitable for procedural care.</w:t>
      </w:r>
    </w:p>
    <w:p xmlns:wp14="http://schemas.microsoft.com/office/word/2010/wordml" w:rsidP="4035D319" wp14:paraId="6BB64A25" wp14:textId="1E547195">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Apply at least three hypnotic strategies—such as rapid inductions, self-deepening procedures, or analytic reframing—to support patient comfort during painful procedures.</w:t>
      </w:r>
    </w:p>
    <w:p xmlns:wp14="http://schemas.microsoft.com/office/word/2010/wordml" w:rsidP="4035D319" wp14:paraId="5DB7986C" wp14:textId="15C0B9B4">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Evaluate at least two indicators of effectiveness when using hypnotic techniques to modulate pain responses and determine their appropriate use within a patient’s treatment plan.</w:t>
      </w:r>
    </w:p>
    <w:p xmlns:wp14="http://schemas.microsoft.com/office/word/2010/wordml" w:rsidP="4035D319" wp14:paraId="716408F1" wp14:textId="1393663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Presenter</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4035D319" wp14:paraId="416CEAA3" wp14:textId="79F59D7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Brice Lemaire,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is a Dental Surgeon,</w:t>
      </w:r>
      <w:r w:rsidRPr="4035D319" w:rsidR="42EB8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private practitioner, author, international speaker, and trainer in Medical Hypnosis. Creator of and teacher in the postgraduate program in Dental Hypnosis at the University of Nice. He is the President of the Dave Elman Hypnosis Institute France President of the French Society of Dental Hypnosis and Member of ISH, SCEH, and ASCH.</w:t>
      </w:r>
    </w:p>
    <w:p xmlns:wp14="http://schemas.microsoft.com/office/word/2010/wordml" w:rsidP="4035D319" wp14:paraId="5764014C" wp14:textId="3493C4BE">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Step-By-Step Guide to Using AI to Enhance Your Hypnosis Practice</w:t>
      </w:r>
    </w:p>
    <w:p xmlns:wp14="http://schemas.microsoft.com/office/word/2010/wordml" w:rsidP="4035D319" wp14:paraId="0428E142" wp14:textId="694793A4">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Cameron Alldredge, PhD | Zoom Room: D</w:t>
      </w:r>
    </w:p>
    <w:p xmlns:wp14="http://schemas.microsoft.com/office/word/2010/wordml" w:rsidP="4035D319" wp14:paraId="3E45FAE9" wp14:textId="377E69A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6DDE34B6" wp14:textId="7C903D0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Attendees will discover practical ways to integrate artificial intelligence into their hypnosis practice. This workshop will provide a step-by-step guide on how to use AI tools to generate personalized hypnosis scripts, design and produce professional-quality audio recordings with voice cloning, and efficiently summarize hypnosis-related research for clients. Participants will also learn how AI can streamline administrative tasks - such as note-taking, correspondence, and documentation - saving valuable clinical time. This workshop blends demonstration with guided practice to help you ethically and effectively leverage AI to expand your impact and accessibility as a hypnosis practitioner.</w:t>
      </w:r>
    </w:p>
    <w:p xmlns:wp14="http://schemas.microsoft.com/office/word/2010/wordml" w:rsidP="4035D319" wp14:paraId="41996574" wp14:textId="63A175F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07738EBD" wp14:textId="6ECE4A1F">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Employ AI in two ways to summarize and translate hypnosis-related research into client-friendly educational materials.</w:t>
      </w:r>
    </w:p>
    <w:p xmlns:wp14="http://schemas.microsoft.com/office/word/2010/wordml" w:rsidP="4035D319" wp14:paraId="74B6E212" wp14:textId="3A6C3169">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Employ AI to summarize and translate hypnosis-related research into client-friendly educational materials.</w:t>
      </w:r>
    </w:p>
    <w:p xmlns:wp14="http://schemas.microsoft.com/office/word/2010/wordml" w:rsidP="4035D319" wp14:paraId="6BB5F6B1" wp14:textId="7A435133">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Apply two practical strategies for integrating AI into clinical and administrative workflows to improve efficiency, documentation quality, and overall practice management.</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4035D319" wp14:paraId="61378E6D" wp14:textId="23F374D9">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ASCH Event - 5:15PM ET - 6:15PM ET</w:t>
      </w:r>
    </w:p>
    <w:p xmlns:wp14="http://schemas.microsoft.com/office/word/2010/wordml" w:rsidP="4035D319" wp14:paraId="3EE87831" wp14:textId="47F02EC8">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ASCH Awards and Passing of the Gavel</w:t>
      </w:r>
    </w:p>
    <w:p xmlns:wp14="http://schemas.microsoft.com/office/word/2010/wordml" w:rsidP="4035D319" wp14:paraId="086E4F4D" wp14:textId="1AE98F4A">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Zoom Room: Main</w:t>
      </w:r>
    </w:p>
    <w:p xmlns:wp14="http://schemas.microsoft.com/office/word/2010/wordml" w:rsidP="4035D319" wp14:paraId="2CC0B231" wp14:textId="56E9D778">
      <w:pPr>
        <w:pStyle w:val="Normal"/>
        <w:keepNext w:val="1"/>
        <w:keepLines w:val="1"/>
      </w:pPr>
      <w:r w:rsidRPr="4035D319" w:rsidR="2265A759">
        <w:rPr>
          <w:noProof w:val="0"/>
          <w:lang w:val="en-US"/>
        </w:rPr>
        <w:t>Join ASCH for a celebratory and ceremonial session recognizing outstanding contributions within the field. The program will feature the presentation of ASCH’s annual awards, honoring individuals whose work has advanced scholarship and professional excellence. The event will conclude with the traditional Passing of the Gavel, marking the formal transition of leadership within the organization. This session offers an opportunity to reflect on accomplishments, welcome new leadership, and connect with colleagues across the ASCH community.</w:t>
      </w:r>
    </w:p>
    <w:p xmlns:wp14="http://schemas.microsoft.com/office/word/2010/wordml" w:rsidP="4035D319" wp14:paraId="725A920E" wp14:textId="46215E16">
      <w:pPr>
        <w:rPr>
          <w:rFonts w:ascii="Aptos Display" w:hAnsi="Aptos Display" w:eastAsia="Aptos Display" w:cs="Aptos Display"/>
          <w:b w:val="0"/>
          <w:bCs w:val="0"/>
          <w:i w:val="0"/>
          <w:iCs w:val="0"/>
          <w:caps w:val="0"/>
          <w:smallCaps w:val="0"/>
          <w:noProof w:val="0"/>
          <w:color w:val="003366"/>
          <w:sz w:val="40"/>
          <w:szCs w:val="40"/>
          <w:lang w:val="en-US"/>
        </w:rPr>
      </w:pPr>
    </w:p>
    <w:p xmlns:wp14="http://schemas.microsoft.com/office/word/2010/wordml" wp14:paraId="2C078E63" wp14:textId="3DA9098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3ccd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14353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c561a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5304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007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f11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9b323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bb711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a04d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394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886AB2"/>
    <w:rsid w:val="0701675F"/>
    <w:rsid w:val="12C32E5A"/>
    <w:rsid w:val="2265A759"/>
    <w:rsid w:val="22D546FB"/>
    <w:rsid w:val="2F9FD249"/>
    <w:rsid w:val="30342C82"/>
    <w:rsid w:val="3C5E7747"/>
    <w:rsid w:val="4035D319"/>
    <w:rsid w:val="42EB8885"/>
    <w:rsid w:val="4F886AB2"/>
    <w:rsid w:val="5292BC48"/>
    <w:rsid w:val="530E1993"/>
    <w:rsid w:val="55D5DB62"/>
    <w:rsid w:val="68C0061F"/>
    <w:rsid w:val="7C7C8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6AB2"/>
  <w15:chartTrackingRefBased/>
  <w15:docId w15:val="{17FD4816-8B28-4584-B4D7-190792C6A1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eastAsiaTheme="majorEastAsia" w:cstheme="majorBidi"/>
      <w:i/>
      <w:iCs/>
      <w:color w:val="0F4761"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80" w:after="40"/>
      <w:outlineLvl xmlns:w="http://schemas.openxmlformats.org/wordprocessingml/2006/main" w:val="3"/>
    </w:pPr>
    <w:rPr xmlns:w="http://schemas.openxmlformats.org/wordprocessingml/2006/main">
      <w:rFonts w:eastAsiaTheme="majorEastAsia" w:cstheme="majorBidi"/>
      <w:i/>
      <w:iCs/>
      <w:color w:val="0F4761" w:themeColor="accent1" w:themeShade="BF"/>
    </w:rPr>
  </w:style>
  <w:style w:type="paragraph" w:styleId="ListParagraph">
    <w:uiPriority w:val="34"/>
    <w:name w:val="List Paragraph"/>
    <w:basedOn w:val="Normal"/>
    <w:qFormat/>
    <w:rsid w:val="30342C8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15b0950084949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9956e04c8e293c3ea37e559ace316975">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7c53024ce4931503ca379509ef8c9094"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b54055-f6af-4990-9199-b194f771deb4}"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documentManagement>
</p:properties>
</file>

<file path=customXml/itemProps1.xml><?xml version="1.0" encoding="utf-8"?>
<ds:datastoreItem xmlns:ds="http://schemas.openxmlformats.org/officeDocument/2006/customXml" ds:itemID="{AFD4222D-E109-43AA-9B70-A27D0CF632DA}"/>
</file>

<file path=customXml/itemProps2.xml><?xml version="1.0" encoding="utf-8"?>
<ds:datastoreItem xmlns:ds="http://schemas.openxmlformats.org/officeDocument/2006/customXml" ds:itemID="{999C80A7-4F6D-4987-AC4A-AA0DBEC2512A}"/>
</file>

<file path=customXml/itemProps3.xml><?xml version="1.0" encoding="utf-8"?>
<ds:datastoreItem xmlns:ds="http://schemas.openxmlformats.org/officeDocument/2006/customXml" ds:itemID="{0DE9193F-1F8B-4168-9909-DE052BD90E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Charlie Healy</dc:creator>
  <keywords/>
  <dc:description/>
  <lastModifiedBy>Charlie Healy</lastModifiedBy>
  <dcterms:created xsi:type="dcterms:W3CDTF">2026-02-28T17:55:50.0000000Z</dcterms:created>
  <dcterms:modified xsi:type="dcterms:W3CDTF">2026-02-28T19:33:30.1736887Z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0x0101005FAAE40168F0B045A12D3EC9DBCF7409</vt:lpwstr>
  </property>
  <property fmtid="{D5CDD505-2E9C-101B-9397-08002B2CF9AE}" pid="3" name="MediaServiceImageTags">
    <vt:lpwstr/>
  </property>
</Properties>
</file>